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HbA1c, % and FIB-4 index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HbA1c, % was inversely associated with FIB-4 index (beta coefficient per 1-SD -0.03 (95% CI -0.04 to -0.02), false discovery rate q &lt;0.001) among 34384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HbA1c, %</w:t>
            </w:r>
          </w:p>
        </w:tc>
        <w:tc>
          <w:tcPr>
            <w:tcW w:type="dxa" w:w="1234"/>
          </w:tcPr>
          <w:p>
            <w:r>
              <w:t>FIB-4 index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-0.03 (95% CI -0.04 to -0.02)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34384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HbA1c, % (exposure)</w:t>
            </w:r>
          </w:p>
        </w:tc>
        <w:tc>
          <w:tcPr>
            <w:tcW w:type="dxa" w:w="4320"/>
          </w:tcPr>
          <w:p>
            <w:r>
              <w:t>5.7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