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Male sex and FIB-4 index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Male sex was inversely associated with FIB-4 index (beta coefficient -0.01 (95% CI -0.03 to 0.01), false discovery rate q 0.522) among 34384 adults aged 20 years or older (survey-weighted).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Male sex</w:t>
            </w:r>
          </w:p>
        </w:tc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-0.01 (95% CI -0.03 to 0.01)</w:t>
            </w:r>
          </w:p>
        </w:tc>
        <w:tc>
          <w:tcPr>
            <w:tcW w:type="dxa" w:w="1234"/>
          </w:tcPr>
          <w:p>
            <w:r>
              <w:t>0.473</w:t>
            </w:r>
          </w:p>
        </w:tc>
        <w:tc>
          <w:tcPr>
            <w:tcW w:type="dxa" w:w="1234"/>
          </w:tcPr>
          <w:p>
            <w:r>
              <w:t>0.522</w:t>
            </w:r>
          </w:p>
        </w:tc>
        <w:tc>
          <w:tcPr>
            <w:tcW w:type="dxa" w:w="1234"/>
          </w:tcPr>
          <w:p>
            <w:r>
              <w:t>34384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Male sex (exposure)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