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 mass, kg and Fasting glucose,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Appendicular skeletal muscle mass, kg was positively associated with Fasting glucose, mg/dL (beta coefficient per 1-SD 2.41 (95% CI 1.23 to 3.59), false discovery rate q &lt;0.001) among 34799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2.41 (95% CI 1.23 to 3.59)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Appendicular skeletal muscle mass, kg (exposure)</w:t>
            </w:r>
          </w:p>
        </w:tc>
        <w:tc>
          <w:tcPr>
            <w:tcW w:type="dxa" w:w="4320"/>
          </w:tcPr>
          <w:p>
            <w:r>
              <w:t>19.6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