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Fasting glucose,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Aspartate aminotransferase, IU/L was positively associated with Fasting glucose, mg/dL (beta coefficient per 1-SD 1.11 (95% CI 0.62 to 1.60), false discovery rate q &lt;0.001) among 34799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1.11 (95% CI 0.62 to 1.60)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Aspartate aminotransferase, IU/L (exposure)</w:t>
            </w:r>
          </w:p>
        </w:tc>
        <w:tc>
          <w:tcPr>
            <w:tcW w:type="dxa" w:w="4320"/>
          </w:tcPr>
          <w:p>
            <w:r>
              <w:t>23.1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