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Fasting glucose,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Leukocytosis (WBC&gt;11) was positively associated with Fasting glucose, mg/dL (beta coefficient 5.53 (95% CI 2.07 to 8.99), false discovery rate q 0.003) among 34799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5.53 (95% CI 2.07 to 8.99)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Leukocytosis (WBC&gt;11) (exposure)</w:t>
            </w:r>
          </w:p>
        </w:tc>
        <w:tc>
          <w:tcPr>
            <w:tcW w:type="dxa" w:w="4320"/>
          </w:tcPr>
          <w:p>
            <w:r>
              <w:t>1.5%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