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Fasting glucose, mg/dL (beta coefficient per 1-SD 0.20 (95% CI -0.20 to 0.59), false discovery rate q 0.382)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-0.20 to 0.59)</w:t>
            </w:r>
          </w:p>
        </w:tc>
        <w:tc>
          <w:tcPr>
            <w:tcW w:type="dxa" w:w="1234"/>
          </w:tcPr>
          <w:p>
            <w:r>
              <w:t>0.333</w:t>
            </w:r>
          </w:p>
        </w:tc>
        <w:tc>
          <w:tcPr>
            <w:tcW w:type="dxa" w:w="1234"/>
          </w:tcPr>
          <w:p>
            <w:r>
              <w:t>0.382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