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Vitamin D deficiency (&lt;20 ng/mL) and Fasting glucose,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Vitamin D deficiency (&lt;20 ng/mL) was positively associated with Fasting glucose, mg/dL (beta coefficient 1.43 (95% CI 0.41 to 2.46), false discovery rate q 0.009) among 34799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1.43 (95% CI 0.41 to 2.46)</w:t>
            </w:r>
          </w:p>
        </w:tc>
        <w:tc>
          <w:tcPr>
            <w:tcW w:type="dxa" w:w="1234"/>
          </w:tcPr>
          <w:p>
            <w:r>
              <w:t>0.006</w:t>
            </w:r>
          </w:p>
        </w:tc>
        <w:tc>
          <w:tcPr>
            <w:tcW w:type="dxa" w:w="1234"/>
          </w:tcPr>
          <w:p>
            <w:r>
              <w:t>0.009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Vitamin D deficiency (&lt;20 ng/mL) (exposure)</w:t>
            </w:r>
          </w:p>
        </w:tc>
        <w:tc>
          <w:tcPr>
            <w:tcW w:type="dxa" w:w="4320"/>
          </w:tcPr>
          <w:p>
            <w:r>
              <w:t>70.4%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