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inversely associated with Fasting insulin, uIU/mL (beta coefficient per 1-SD -0.21 (95% CI -0.47 to 0.06), false discovery rate q 0.154) among 16054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-0.21 (95% CI -0.47 to 0.06)</w:t>
            </w:r>
          </w:p>
        </w:tc>
        <w:tc>
          <w:tcPr>
            <w:tcW w:type="dxa" w:w="1234"/>
          </w:tcPr>
          <w:p>
            <w:r>
              <w:t>0.125</w:t>
            </w:r>
          </w:p>
        </w:tc>
        <w:tc>
          <w:tcPr>
            <w:tcW w:type="dxa" w:w="1234"/>
          </w:tcPr>
          <w:p>
            <w:r>
              <w:t>0.154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