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Vitamin D deficiency (&lt;20 ng/mL) and Fasting insulin, uIU/mL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Vitamin D deficiency (&lt;20 ng/mL) was positively associated with Fasting insulin, uIU/mL (beta coefficient 0.62 (95% CI 0.30 to 0.93), false discovery rate q &lt;0.001) among 16054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0.62 (95% CI 0.30 to 0.93)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16054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Vitamin D deficiency (&lt;20 ng/mL) (exposure)</w:t>
            </w:r>
          </w:p>
        </w:tc>
        <w:tc>
          <w:tcPr>
            <w:tcW w:type="dxa" w:w="4320"/>
          </w:tcPr>
          <w:p>
            <w:r>
              <w:t>65.6%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46.7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45.5%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89.8%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23.9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