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Abdominal obesity and Femoral neck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Abdominal obesity was positively associated with Femoral neck BMD, g/cm2 (beta coefficient 0.05 (95% CI 0.04 to 0.05), false discovery rate q &lt;0.001) among 6645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0.05 (95% CI 0.04 to 0.05)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6645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Abdominal obesity (exposure)</w:t>
            </w:r>
          </w:p>
        </w:tc>
        <w:tc>
          <w:tcPr>
            <w:tcW w:type="dxa" w:w="4320"/>
          </w:tcPr>
          <w:p>
            <w:r>
              <w:t>25.6%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45.8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