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Aspartate aminotransferase, IU/L and Femoral neck BMD, g/cm2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Aspartate aminotransferase, IU/L was inversely associated with Femoral neck BMD, g/cm2 (beta coefficient per 1-SD -0.00 (95% CI -0.01 to 0.00), false discovery rate q 0.284) among 6645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Aspartate aminotransferase, IU/L</w:t>
            </w:r>
          </w:p>
        </w:tc>
        <w:tc>
          <w:tcPr>
            <w:tcW w:type="dxa" w:w="1234"/>
          </w:tcPr>
          <w:p>
            <w:r>
              <w:t>Femoral neck BMD, g/cm2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-0.00 (95% CI -0.01 to 0.00)</w:t>
            </w:r>
          </w:p>
        </w:tc>
        <w:tc>
          <w:tcPr>
            <w:tcW w:type="dxa" w:w="1234"/>
          </w:tcPr>
          <w:p>
            <w:r>
              <w:t>0.242</w:t>
            </w:r>
          </w:p>
        </w:tc>
        <w:tc>
          <w:tcPr>
            <w:tcW w:type="dxa" w:w="1234"/>
          </w:tcPr>
          <w:p>
            <w:r>
              <w:t>0.284</w:t>
            </w:r>
          </w:p>
        </w:tc>
        <w:tc>
          <w:tcPr>
            <w:tcW w:type="dxa" w:w="1234"/>
          </w:tcPr>
          <w:p>
            <w:r>
              <w:t>6645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Aspartate aminotransferase, IU/L (exposure)</w:t>
            </w:r>
          </w:p>
        </w:tc>
        <w:tc>
          <w:tcPr>
            <w:tcW w:type="dxa" w:w="4320"/>
          </w:tcPr>
          <w:p>
            <w:r>
              <w:t>22.4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45.8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49.4%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