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Central obesity (WHtR&gt;=0.5) and Femoral neck BMD, g/cm2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Central obesity (WHtR&gt;=0.5) was positively associated with Femoral neck BMD, g/cm2 (beta coefficient 0.04 (95% CI 0.04 to 0.05), false discovery rate q &lt;0.001) among 6645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0.04 (95% CI 0.04 to 0.05)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6645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Central obesity (WHtR&gt;=0.5) (exposure)</w:t>
            </w:r>
          </w:p>
        </w:tc>
        <w:tc>
          <w:tcPr>
            <w:tcW w:type="dxa" w:w="4320"/>
          </w:tcPr>
          <w:p>
            <w:r>
              <w:t>46.6%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45.8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