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Femoral neck BMD, g/cm2 (beta coefficient -0.02 (95% CI -0.05 to 0.01), false discovery rate q 0.318)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-0.05 to 0.01)</w:t>
            </w:r>
          </w:p>
        </w:tc>
        <w:tc>
          <w:tcPr>
            <w:tcW w:type="dxa" w:w="1234"/>
          </w:tcPr>
          <w:p>
            <w:r>
              <w:t>0.272</w:t>
            </w:r>
          </w:p>
        </w:tc>
        <w:tc>
          <w:tcPr>
            <w:tcW w:type="dxa" w:w="1234"/>
          </w:tcPr>
          <w:p>
            <w:r>
              <w:t>0.318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6.7%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