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Femoral neck BMD, g/cm2 (beta coefficient per 1-SD -0.00 (95% CI -0.00 to 0.00), false discovery rate q 0.670)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0.627</w:t>
            </w:r>
          </w:p>
        </w:tc>
        <w:tc>
          <w:tcPr>
            <w:tcW w:type="dxa" w:w="1234"/>
          </w:tcPr>
          <w:p>
            <w:r>
              <w:t>0.670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