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was inversely associated with Femoral neck BMD, g/cm2 (beta coefficient -0.02 (95% CI -0.03 to -0.01), false discovery rate q &lt;0.001)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-0.03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(exposure)</w:t>
            </w:r>
          </w:p>
        </w:tc>
        <w:tc>
          <w:tcPr>
            <w:tcW w:type="dxa" w:w="4320"/>
          </w:tcPr>
          <w:p>
            <w:r>
              <w:t>23.9%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