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inversely associated with Femoral neck BMD, g/cm2 (beta coefficient -0.00 (95% CI -0.03 to 0.02), false discovery rate q 0.768)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-0.03 to 0.02)</w:t>
            </w:r>
          </w:p>
        </w:tc>
        <w:tc>
          <w:tcPr>
            <w:tcW w:type="dxa" w:w="1234"/>
          </w:tcPr>
          <w:p>
            <w:r>
              <w:t>0.732</w:t>
            </w:r>
          </w:p>
        </w:tc>
        <w:tc>
          <w:tcPr>
            <w:tcW w:type="dxa" w:w="1234"/>
          </w:tcPr>
          <w:p>
            <w:r>
              <w:t>0.768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7.8%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