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Femoral neck BMD, g/cm2 (beta coefficient -0.00 (95% CI -0.02 to 0.02), false discovery rate q 0.871)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0.02)</w:t>
            </w:r>
          </w:p>
        </w:tc>
        <w:tc>
          <w:tcPr>
            <w:tcW w:type="dxa" w:w="1234"/>
          </w:tcPr>
          <w:p>
            <w:r>
              <w:t>0.847</w:t>
            </w:r>
          </w:p>
        </w:tc>
        <w:tc>
          <w:tcPr>
            <w:tcW w:type="dxa" w:w="1234"/>
          </w:tcPr>
          <w:p>
            <w:r>
              <w:t>0.871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