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MASLD was inversely associated with Femoral neck BMD, g/cm2 (beta coefficient -0.01 (95% CI -0.02 to -0.00), false discovery rate q 0.006)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MASLD (exposure)</w:t>
            </w:r>
          </w:p>
        </w:tc>
        <w:tc>
          <w:tcPr>
            <w:tcW w:type="dxa" w:w="4320"/>
          </w:tcPr>
          <w:p>
            <w:r>
              <w:t>20.9%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