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Current smoking and HOMA-IR</w:t>
      </w:r>
    </w:p>
    <w:p>
      <w:r>
        <w:t>KNHANES · Korea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Korea National Health and Nutrition Examination Survey, Current smoking was positively associated with HOMA-IR (beta coefficient 0.02 (95% CI -0.09 to 0.13), false discovery rate q 0.754) among 15529 adults aged 20 years or older (survey-weighted). Confounders: Age, years, Male sex, Ever alcohol (past/current), Body mass index, kg/m2.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alcohol (past/current), Body mass index, kg/m2.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Current smoking</w:t>
            </w:r>
          </w:p>
        </w:tc>
        <w:tc>
          <w:tcPr>
            <w:tcW w:type="dxa" w:w="1234"/>
          </w:tcPr>
          <w:p>
            <w:r>
              <w:t>HOMA-IR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0.02 (95% CI -0.09 to 0.13)</w:t>
            </w:r>
          </w:p>
        </w:tc>
        <w:tc>
          <w:tcPr>
            <w:tcW w:type="dxa" w:w="1234"/>
          </w:tcPr>
          <w:p>
            <w:r>
              <w:t>0.717</w:t>
            </w:r>
          </w:p>
        </w:tc>
        <w:tc>
          <w:tcPr>
            <w:tcW w:type="dxa" w:w="1234"/>
          </w:tcPr>
          <w:p>
            <w:r>
              <w:t>0.754</w:t>
            </w:r>
          </w:p>
        </w:tc>
        <w:tc>
          <w:tcPr>
            <w:tcW w:type="dxa" w:w="1234"/>
          </w:tcPr>
          <w:p>
            <w:r>
              <w:t>15529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Current smoking (exposure)</w:t>
            </w:r>
          </w:p>
        </w:tc>
        <w:tc>
          <w:tcPr>
            <w:tcW w:type="dxa" w:w="4320"/>
          </w:tcPr>
          <w:p>
            <w:r>
              <w:t>22.3%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46.7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49.7%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45.2%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89.8%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23.9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