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Elevated AST (&gt;40 IU/L) and HOMA-IR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Elevated AST (&gt;40 IU/L) was positively associated with HOMA-IR (beta coefficient 1.19 (95% CI 0.87 to 1.50), false discovery rate q &lt;0.001) among 15529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Elevated AST (&gt;40 IU/L)</w:t>
            </w:r>
          </w:p>
        </w:tc>
        <w:tc>
          <w:tcPr>
            <w:tcW w:type="dxa" w:w="1234"/>
          </w:tcPr>
          <w:p>
            <w:r>
              <w:t>HOMA-IR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1.19 (95% CI 0.87 to 1.50)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15529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Elevated AST (&gt;40 IU/L) (exposure)</w:t>
            </w:r>
          </w:p>
        </w:tc>
        <w:tc>
          <w:tcPr>
            <w:tcW w:type="dxa" w:w="4320"/>
          </w:tcPr>
          <w:p>
            <w:r>
              <w:t>5.4%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46.7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45.2%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89.8%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23.9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