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Obesity (KSSO &gt;=25 / WHO &gt;=30, country-specific) and HOMA-IR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Obesity (KSSO &gt;=25 / WHO &gt;=30, country-specific) was positively associated with HOMA-IR (beta coefficient 1.44 (95% CI 1.33 to 1.54), false discovery rate q &lt;0.001) among 15529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1.44 (95% CI 1.33 to 1.54)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15529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Obesity (KSSO &gt;=25 / WHO &gt;=30, country-specific) (exposure)</w:t>
            </w:r>
          </w:p>
        </w:tc>
        <w:tc>
          <w:tcPr>
            <w:tcW w:type="dxa" w:w="4320"/>
          </w:tcPr>
          <w:p>
            <w:r>
              <w:t>34.7%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46.7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45.2%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89.8%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23.9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