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Total lean mass, kg and HOMA-IR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Total lean mass, kg was positively associated with HOMA-IR (beta coefficient per 1-SD 0.72 (95% CI 0.53 to 0.92), false discovery rate q &lt;0.001) among 15529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Total lean mass, kg</w:t>
            </w:r>
          </w:p>
        </w:tc>
        <w:tc>
          <w:tcPr>
            <w:tcW w:type="dxa" w:w="1234"/>
          </w:tcPr>
          <w:p>
            <w:r>
              <w:t>HOMA-IR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0.72 (95% CI 0.53 to 0.92)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15529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Total lean mass, kg (exposure)</w:t>
            </w:r>
          </w:p>
        </w:tc>
        <w:tc>
          <w:tcPr>
            <w:tcW w:type="dxa" w:w="4320"/>
          </w:tcPr>
          <w:p>
            <w:r>
              <w:t>45.6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46.7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49.7%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45.2%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89.8%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23.9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