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Height, cm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Hypertriglyceridemia (NCEP TG&gt;=150) was inversely associated with Height, cm (beta coefficient -0.05 (95% CI -0.23 to 0.12), false discovery rate q 0.607) among 37336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Height,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-0.23 to 0.12)</w:t>
            </w:r>
          </w:p>
        </w:tc>
        <w:tc>
          <w:tcPr>
            <w:tcW w:type="dxa" w:w="1234"/>
          </w:tcPr>
          <w:p>
            <w:r>
              <w:t>0.561</w:t>
            </w:r>
          </w:p>
        </w:tc>
        <w:tc>
          <w:tcPr>
            <w:tcW w:type="dxa" w:w="1234"/>
          </w:tcPr>
          <w:p>
            <w:r>
              <w:t>0.607</w:t>
            </w:r>
          </w:p>
        </w:tc>
        <w:tc>
          <w:tcPr>
            <w:tcW w:type="dxa" w:w="1234"/>
          </w:tcPr>
          <w:p>
            <w:r>
              <w:t>37336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Hypertriglyceridemia (NCEP TG&gt;=150) (exposure)</w:t>
            </w:r>
          </w:p>
        </w:tc>
        <w:tc>
          <w:tcPr>
            <w:tcW w:type="dxa" w:w="4320"/>
          </w:tcPr>
          <w:p>
            <w:r>
              <w:t>29.5%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