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Height,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Total cholesterol, mg/dL was inversely associated with Height, cm (beta coefficient per 1-SD -0.01 (95% CI -0.08 to 0.07), false discovery rate q 0.843) among 37336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-0.08 to 0.07)</w:t>
            </w:r>
          </w:p>
        </w:tc>
        <w:tc>
          <w:tcPr>
            <w:tcW w:type="dxa" w:w="1234"/>
          </w:tcPr>
          <w:p>
            <w:r>
              <w:t>0.815</w:t>
            </w:r>
          </w:p>
        </w:tc>
        <w:tc>
          <w:tcPr>
            <w:tcW w:type="dxa" w:w="1234"/>
          </w:tcPr>
          <w:p>
            <w:r>
              <w:t>0.843</w:t>
            </w:r>
          </w:p>
        </w:tc>
        <w:tc>
          <w:tcPr>
            <w:tcW w:type="dxa" w:w="1234"/>
          </w:tcPr>
          <w:p>
            <w:r>
              <w:t>37336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cholesterol, mg/dL (exposure)</w:t>
            </w:r>
          </w:p>
        </w:tc>
        <w:tc>
          <w:tcPr>
            <w:tcW w:type="dxa" w:w="4320"/>
          </w:tcPr>
          <w:p>
            <w:r>
              <w:t>189.7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