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Femoral neck BMD, g/cm2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Femoral neck BMD, g/cm2 was inversely associated with Hemoglobin, g/dL (beta coefficient per 1-SD -0.04 (95% CI -0.08 to 0.01), false discovery rate q 0.161)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Femoral neck BMD, g/cm2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-0.04 (95% CI -0.08 to 0.01)</w:t>
            </w:r>
          </w:p>
        </w:tc>
        <w:tc>
          <w:tcPr>
            <w:tcW w:type="dxa" w:w="1234"/>
          </w:tcPr>
          <w:p>
            <w:r>
              <w:t>0.131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Femoral neck BMD, g/cm2 (exposure)</w:t>
            </w:r>
          </w:p>
        </w:tc>
        <w:tc>
          <w:tcPr>
            <w:tcW w:type="dxa" w:w="4320"/>
          </w:tcPr>
          <w:p>
            <w:r>
              <w:t>0.8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