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Hemoglobin, 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HbA1c, % was positively associated with Hemoglobin, g/dL (beta coefficient per 1-SD 0.01 (95% CI -0.01 to 0.03), false discovery rate q 0.259)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-0.01 to 0.03)</w:t>
            </w:r>
          </w:p>
        </w:tc>
        <w:tc>
          <w:tcPr>
            <w:tcW w:type="dxa" w:w="1234"/>
          </w:tcPr>
          <w:p>
            <w:r>
              <w:t>0.218</w:t>
            </w:r>
          </w:p>
        </w:tc>
        <w:tc>
          <w:tcPr>
            <w:tcW w:type="dxa" w:w="1234"/>
          </w:tcPr>
          <w:p>
            <w:r>
              <w:t>0.259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HbA1c, % (exposure)</w:t>
            </w:r>
          </w:p>
        </w:tc>
        <w:tc>
          <w:tcPr>
            <w:tcW w:type="dxa" w:w="4320"/>
          </w:tcPr>
          <w:p>
            <w:r>
              <w:t>5.7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