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muscle, % and Hepatic steatosis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Appendicular skeletal muscle, % was inversely associated with Hepatic steatosis (odds ratio per 1-SD 0.21 (95% CI 0.18 to 0.24), false discovery rate q &lt;0.001) among 35562 adults aged 20 years or older (a weighted Hepatic steatosis prevalence of 24.5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alcohol and smoking. BMI is part of the steatosis construct and is not used for adjustment. Adjustment for this exposure: Age, years, Male sex,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Hepatic steatosis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0.21 (95% CI 0.18 to 0.24)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35562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Hepatic steatosis</w:t>
            </w:r>
          </w:p>
        </w:tc>
        <w:tc>
          <w:tcPr>
            <w:tcW w:type="dxa" w:w="2160"/>
          </w:tcPr>
          <w:p>
            <w:r>
              <w:t>Hepatic steatosis</w:t>
            </w:r>
          </w:p>
        </w:tc>
      </w:tr>
      <w:tr>
        <w:tc>
          <w:tcPr>
            <w:tcW w:type="dxa" w:w="2160"/>
          </w:tcPr>
          <w:p>
            <w:r>
              <w:t>Appendicular skeletal muscle, % (exposure)</w:t>
            </w:r>
          </w:p>
        </w:tc>
        <w:tc>
          <w:tcPr>
            <w:tcW w:type="dxa" w:w="2160"/>
          </w:tcPr>
          <w:p>
            <w:r>
              <w:t>30.9</w:t>
            </w:r>
          </w:p>
        </w:tc>
        <w:tc>
          <w:tcPr>
            <w:tcW w:type="dxa" w:w="2160"/>
          </w:tcPr>
          <w:p>
            <w:r>
              <w:t>31.2</w:t>
            </w:r>
          </w:p>
        </w:tc>
        <w:tc>
          <w:tcPr>
            <w:tcW w:type="dxa" w:w="2160"/>
          </w:tcPr>
          <w:p>
            <w:r>
              <w:t>29.8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47.6%</w:t>
            </w:r>
          </w:p>
        </w:tc>
        <w:tc>
          <w:tcPr>
            <w:tcW w:type="dxa" w:w="2160"/>
          </w:tcPr>
          <w:p>
            <w:r>
              <w:t>58.7%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90.7%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90.1%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51.1%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