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Hepatic steatosis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positively associated with Hepatic steatosis (odds ratio per 1-SD 1.19 (95% CI 1.13 to 1.25), false discovery rate q &lt;0.001) among 35562 adults aged 20 years or older (a weighted Hepatic steatosis prevalence of 24.5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1.19 (95% CI 1.13 to 1.25)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LDL cholesterol, mg/dL (exposure)</w:t>
            </w:r>
          </w:p>
        </w:tc>
        <w:tc>
          <w:tcPr>
            <w:tcW w:type="dxa" w:w="2160"/>
          </w:tcPr>
          <w:p>
            <w:r>
              <w:t>115.4</w:t>
            </w:r>
          </w:p>
        </w:tc>
        <w:tc>
          <w:tcPr>
            <w:tcW w:type="dxa" w:w="2160"/>
          </w:tcPr>
          <w:p>
            <w:r>
              <w:t>113.5</w:t>
            </w:r>
          </w:p>
        </w:tc>
        <w:tc>
          <w:tcPr>
            <w:tcW w:type="dxa" w:w="2160"/>
          </w:tcPr>
          <w:p>
            <w:r>
              <w:t>119.8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58.7%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