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Hepatic steatosis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inversely associated with Hepatic steatosis (odds ratio 0.53 (95% CI 0.41 to 0.70), false discovery rate q &lt;0.001) among 35562 adults aged 20 years or older (a weighted Hepatic steatosis prevalence of 24.5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0.53 (95% CI 0.41 to 0.70)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30.0%</w:t>
            </w:r>
          </w:p>
        </w:tc>
        <w:tc>
          <w:tcPr>
            <w:tcW w:type="dxa" w:w="2160"/>
          </w:tcPr>
          <w:p>
            <w:r>
              <w:t>31.9%</w:t>
            </w:r>
          </w:p>
        </w:tc>
        <w:tc>
          <w:tcPr>
            <w:tcW w:type="dxa" w:w="2160"/>
          </w:tcPr>
          <w:p>
            <w:r>
              <w:t>23.5%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58.7%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