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Waist-to-height ratio and Hepatic steatosis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Waist-to-height ratio was positively associated with Hepatic steatosis (odds ratio per 1-SD 12.67 (95% CI 11.80 to 13.60), false discovery rate q &lt;0.001) among 35562 adults aged 20 years or older (a weighted Hepatic steatosis prevalence of 24.5 percent, survey-weighted). Confounders: Age, years, Male sex,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alcohol and smoking. BMI is part of the steatosis construct and is not used for adjustment. Adjustment for this exposure: Age, years, Male sex,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Waist-to-height ratio</w:t>
            </w:r>
          </w:p>
        </w:tc>
        <w:tc>
          <w:tcPr>
            <w:tcW w:type="dxa" w:w="1234"/>
          </w:tcPr>
          <w:p>
            <w:r>
              <w:t>Hepatic steatosis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12.67 (95% CI 11.80 to 13.60)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35562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Hepatic steatosis</w:t>
            </w:r>
          </w:p>
        </w:tc>
        <w:tc>
          <w:tcPr>
            <w:tcW w:type="dxa" w:w="2160"/>
          </w:tcPr>
          <w:p>
            <w:r>
              <w:t>Hepatic steatosis</w:t>
            </w:r>
          </w:p>
        </w:tc>
      </w:tr>
      <w:tr>
        <w:tc>
          <w:tcPr>
            <w:tcW w:type="dxa" w:w="2160"/>
          </w:tcPr>
          <w:p>
            <w:r>
              <w:t>Waist-to-height ratio (exposure)</w:t>
            </w:r>
          </w:p>
        </w:tc>
        <w:tc>
          <w:tcPr>
            <w:tcW w:type="dxa" w:w="2160"/>
          </w:tcPr>
          <w:p>
            <w:r>
              <w:t>0.5</w:t>
            </w:r>
          </w:p>
        </w:tc>
        <w:tc>
          <w:tcPr>
            <w:tcW w:type="dxa" w:w="2160"/>
          </w:tcPr>
          <w:p>
            <w:r>
              <w:t>0.5</w:t>
            </w:r>
          </w:p>
        </w:tc>
        <w:tc>
          <w:tcPr>
            <w:tcW w:type="dxa" w:w="2160"/>
          </w:tcPr>
          <w:p>
            <w:r>
              <w:t>0.6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47.1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46.7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  <w:tc>
          <w:tcPr>
            <w:tcW w:type="dxa" w:w="2160"/>
          </w:tcPr>
          <w:p>
            <w:r>
              <w:t>47.6%</w:t>
            </w:r>
          </w:p>
        </w:tc>
        <w:tc>
          <w:tcPr>
            <w:tcW w:type="dxa" w:w="2160"/>
          </w:tcPr>
          <w:p>
            <w:r>
              <w:t>58.7%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90.7%</w:t>
            </w:r>
          </w:p>
        </w:tc>
        <w:tc>
          <w:tcPr>
            <w:tcW w:type="dxa" w:w="2160"/>
          </w:tcPr>
          <w:p>
            <w:r>
              <w:t>90.9%</w:t>
            </w:r>
          </w:p>
        </w:tc>
        <w:tc>
          <w:tcPr>
            <w:tcW w:type="dxa" w:w="2160"/>
          </w:tcPr>
          <w:p>
            <w:r>
              <w:t>90.1%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42.9%</w:t>
            </w:r>
          </w:p>
        </w:tc>
        <w:tc>
          <w:tcPr>
            <w:tcW w:type="dxa" w:w="2160"/>
          </w:tcPr>
          <w:p>
            <w:r>
              <w:t>51.1%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