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Hypertriglyceridemia (NCEP TG&gt;=150) and Hepatic steatosis index (HSI)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Hypertriglyceridemia (NCEP TG&gt;=150) was positively associated with Hepatic steatosis index (HSI) (beta coefficient 1.01 (95% CI 0.92 to 1.10), false discovery rate q &lt;0.001) among 35562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Hypertriglyceridemia (NCEP TG&gt;=150)</w:t>
            </w:r>
          </w:p>
        </w:tc>
        <w:tc>
          <w:tcPr>
            <w:tcW w:type="dxa" w:w="1234"/>
          </w:tcPr>
          <w:p>
            <w:r>
              <w:t>Hepatic steatosis index (HSI)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1.01 (95% CI 0.92 to 1.10)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35562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Hypertriglyceridemia (NCEP TG&gt;=150) (exposure)</w:t>
            </w:r>
          </w:p>
        </w:tc>
        <w:tc>
          <w:tcPr>
            <w:tcW w:type="dxa" w:w="4320"/>
          </w:tcPr>
          <w:p>
            <w:r>
              <w:t>29.5%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47.1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