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kidney disease (KDIGO: eGFR&lt;60 or ACR&gt;=30) and High body fat (M&gt;=25/F&gt;=35%)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Chronic kidney disease (KDIGO: eGFR&lt;60 or ACR&gt;=30) was positively associated with High body fat (M&gt;=25/F&gt;=35%) (odds ratio 1.64 (95% CI 0.85 to 3.16), false discovery rate q 0.181) among 6582 adults aged 20 years or older (a weighted High body fat (M&gt;=25/F&gt;=35%) prevalence of 33.7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1.64 (95% CI 0.85 to 3.16)</w:t>
            </w:r>
          </w:p>
        </w:tc>
        <w:tc>
          <w:tcPr>
            <w:tcW w:type="dxa" w:w="1234"/>
          </w:tcPr>
          <w:p>
            <w:r>
              <w:t>0.148</w:t>
            </w:r>
          </w:p>
        </w:tc>
        <w:tc>
          <w:tcPr>
            <w:tcW w:type="dxa" w:w="1234"/>
          </w:tcPr>
          <w:p>
            <w:r>
              <w:t>0.181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body fat (M&gt;=25/F&gt;=35%)</w:t>
            </w:r>
          </w:p>
        </w:tc>
        <w:tc>
          <w:tcPr>
            <w:tcW w:type="dxa" w:w="2160"/>
          </w:tcPr>
          <w:p>
            <w:r>
              <w:t>High body fat (M&gt;=25/F&gt;=35%)</w:t>
            </w:r>
          </w:p>
        </w:tc>
      </w:tr>
      <w:tr>
        <w:tc>
          <w:tcPr>
            <w:tcW w:type="dxa" w:w="2160"/>
          </w:tcPr>
          <w:p>
            <w:r>
              <w:t>Chronic kidney disease (KDIGO: eGFR&lt;60 or ACR&gt;=30) (exposure)</w:t>
            </w:r>
          </w:p>
        </w:tc>
        <w:tc>
          <w:tcPr>
            <w:tcW w:type="dxa" w:w="2160"/>
          </w:tcPr>
          <w:p>
            <w:r>
              <w:t>6.6%</w:t>
            </w:r>
          </w:p>
        </w:tc>
        <w:tc>
          <w:tcPr>
            <w:tcW w:type="dxa" w:w="2160"/>
          </w:tcPr>
          <w:p>
            <w:r>
              <w:t>5.6%</w:t>
            </w:r>
          </w:p>
        </w:tc>
        <w:tc>
          <w:tcPr>
            <w:tcW w:type="dxa" w:w="2160"/>
          </w:tcPr>
          <w:p>
            <w:r>
              <w:t>9.0%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88.5%</w:t>
            </w:r>
          </w:p>
        </w:tc>
        <w:tc>
          <w:tcPr>
            <w:tcW w:type="dxa" w:w="2160"/>
          </w:tcPr>
          <w:p>
            <w:r>
              <w:t>89.9%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