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High body fat (M&gt;=25/F&gt;=35%) (odds ratio per 1-SD 1.28 (95% CI 1.19 to 1.38),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1.28 (95% CI 1.19 to 1.38)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77.0</w:t>
            </w:r>
          </w:p>
        </w:tc>
        <w:tc>
          <w:tcPr>
            <w:tcW w:type="dxa" w:w="2160"/>
          </w:tcPr>
          <w:p>
            <w:r>
              <w:t>76.3</w:t>
            </w:r>
          </w:p>
        </w:tc>
        <w:tc>
          <w:tcPr>
            <w:tcW w:type="dxa" w:w="2160"/>
          </w:tcPr>
          <w:p>
            <w:r>
              <w:t>78.6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