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High body fat (M&gt;=25/F&gt;=35%)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Ever smoking (past/current) was inversely associated with High body fat (M&gt;=25/F&gt;=35%) (odds ratio 0.94 (95% CI 0.79 to 1.12), false discovery rate q 0.535) among 6582 adults aged 20 years or older (a weighted High body fat (M&gt;=25/F&gt;=35%) prevalence of 33.7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0.94 (95% CI 0.79 to 1.12)</w:t>
            </w:r>
          </w:p>
        </w:tc>
        <w:tc>
          <w:tcPr>
            <w:tcW w:type="dxa" w:w="1234"/>
          </w:tcPr>
          <w:p>
            <w:r>
              <w:t>0.488</w:t>
            </w:r>
          </w:p>
        </w:tc>
        <w:tc>
          <w:tcPr>
            <w:tcW w:type="dxa" w:w="1234"/>
          </w:tcPr>
          <w:p>
            <w:r>
              <w:t>0.535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body fat (M&gt;=25/F&gt;=35%)</w:t>
            </w:r>
          </w:p>
        </w:tc>
        <w:tc>
          <w:tcPr>
            <w:tcW w:type="dxa" w:w="2160"/>
          </w:tcPr>
          <w:p>
            <w:r>
              <w:t>High body fat (M&gt;=25/F&gt;=35%)</w:t>
            </w:r>
          </w:p>
        </w:tc>
      </w:tr>
      <w:tr>
        <w:tc>
          <w:tcPr>
            <w:tcW w:type="dxa" w:w="2160"/>
          </w:tcPr>
          <w:p>
            <w:r>
              <w:t>Ever smoking (past/current) (exposure)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42.2%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51.9%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42.2%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88.5%</w:t>
            </w:r>
          </w:p>
        </w:tc>
        <w:tc>
          <w:tcPr>
            <w:tcW w:type="dxa" w:w="2160"/>
          </w:tcPr>
          <w:p>
            <w:r>
              <w:t>89.9%</w:t>
            </w:r>
          </w:p>
        </w:tc>
        <w:tc>
          <w:tcPr>
            <w:tcW w:type="dxa" w:w="2160"/>
          </w:tcPr>
          <w:p>
            <w:r>
              <w:t>85.6%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