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Femoral neck BMD, g/cm2 and High body fat (M&gt;=25/F&gt;=35%)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Femoral neck BMD, g/cm2 was positively associated with High body fat (M&gt;=25/F&gt;=35%) (odds ratio per 1-SD 1.15 (95% CI 1.06 to 1.25), false discovery rate q 0.001) among 6582 adults aged 20 years or older (a weighted High body fat (M&gt;=25/F&gt;=35%) prevalence of 33.7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Adiposity measures are not used for adjustment.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Femoral neck BMD, g/cm2</w:t>
            </w:r>
          </w:p>
        </w:tc>
        <w:tc>
          <w:tcPr>
            <w:tcW w:type="dxa" w:w="1234"/>
          </w:tcPr>
          <w:p>
            <w:r>
              <w:t>High body fat (M&gt;=25/F&gt;=35%)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1.15 (95% CI 1.06 to 1.25)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0.001</w:t>
            </w:r>
          </w:p>
        </w:tc>
        <w:tc>
          <w:tcPr>
            <w:tcW w:type="dxa" w:w="1234"/>
          </w:tcPr>
          <w:p>
            <w:r>
              <w:t>6582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High body fat (M&gt;=25/F&gt;=35%)</w:t>
            </w:r>
          </w:p>
        </w:tc>
        <w:tc>
          <w:tcPr>
            <w:tcW w:type="dxa" w:w="2160"/>
          </w:tcPr>
          <w:p>
            <w:r>
              <w:t>High body fat (M&gt;=25/F&gt;=35%)</w:t>
            </w:r>
          </w:p>
        </w:tc>
      </w:tr>
      <w:tr>
        <w:tc>
          <w:tcPr>
            <w:tcW w:type="dxa" w:w="2160"/>
          </w:tcPr>
          <w:p>
            <w:r>
              <w:t>Femoral neck BMD, g/cm2 (exposure)</w:t>
            </w:r>
          </w:p>
        </w:tc>
        <w:tc>
          <w:tcPr>
            <w:tcW w:type="dxa" w:w="2160"/>
          </w:tcPr>
          <w:p>
            <w:r>
              <w:t>0.8</w:t>
            </w:r>
          </w:p>
        </w:tc>
        <w:tc>
          <w:tcPr>
            <w:tcW w:type="dxa" w:w="2160"/>
          </w:tcPr>
          <w:p>
            <w:r>
              <w:t>0.8</w:t>
            </w:r>
          </w:p>
        </w:tc>
        <w:tc>
          <w:tcPr>
            <w:tcW w:type="dxa" w:w="2160"/>
          </w:tcPr>
          <w:p>
            <w:r>
              <w:t>0.8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45.6</w:t>
            </w:r>
          </w:p>
        </w:tc>
        <w:tc>
          <w:tcPr>
            <w:tcW w:type="dxa" w:w="2160"/>
          </w:tcPr>
          <w:p>
            <w:r>
              <w:t>44.7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49.1%</w:t>
            </w:r>
          </w:p>
        </w:tc>
        <w:tc>
          <w:tcPr>
            <w:tcW w:type="dxa" w:w="2160"/>
          </w:tcPr>
          <w:p>
            <w:r>
              <w:t>51.9%</w:t>
            </w:r>
          </w:p>
        </w:tc>
        <w:tc>
          <w:tcPr>
            <w:tcW w:type="dxa" w:w="2160"/>
          </w:tcPr>
          <w:p>
            <w:r>
              <w:t>43.5%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46.5%</w:t>
            </w:r>
          </w:p>
        </w:tc>
        <w:tc>
          <w:tcPr>
            <w:tcW w:type="dxa" w:w="2160"/>
          </w:tcPr>
          <w:p>
            <w:r>
              <w:t>48.7%</w:t>
            </w:r>
          </w:p>
        </w:tc>
        <w:tc>
          <w:tcPr>
            <w:tcW w:type="dxa" w:w="2160"/>
          </w:tcPr>
          <w:p>
            <w:r>
              <w:t>42.2%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88.5%</w:t>
            </w:r>
          </w:p>
        </w:tc>
        <w:tc>
          <w:tcPr>
            <w:tcW w:type="dxa" w:w="2160"/>
          </w:tcPr>
          <w:p>
            <w:r>
              <w:t>89.9%</w:t>
            </w:r>
          </w:p>
        </w:tc>
        <w:tc>
          <w:tcPr>
            <w:tcW w:type="dxa" w:w="2160"/>
          </w:tcPr>
          <w:p>
            <w:r>
              <w:t>85.6%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