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High body fat (M&gt;=25/F&gt;=35%)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High LDL cholesterol (&gt;=160) was positively associated with High body fat (M&gt;=25/F&gt;=35%) (odds ratio 1.53 (95% CI 0.99 to 2.34), false discovery rate q 0.070) among 6582 adults aged 20 years or older (a weighted High body fat (M&gt;=25/F&gt;=35%) prevalence of 33.7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1.53 (95% CI 0.99 to 2.34)</w:t>
            </w:r>
          </w:p>
        </w:tc>
        <w:tc>
          <w:tcPr>
            <w:tcW w:type="dxa" w:w="1234"/>
          </w:tcPr>
          <w:p>
            <w:r>
              <w:t>0.054</w:t>
            </w:r>
          </w:p>
        </w:tc>
        <w:tc>
          <w:tcPr>
            <w:tcW w:type="dxa" w:w="1234"/>
          </w:tcPr>
          <w:p>
            <w:r>
              <w:t>0.070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High LDL cholesterol (&gt;=160) (exposure)</w:t>
            </w:r>
          </w:p>
        </w:tc>
        <w:tc>
          <w:tcPr>
            <w:tcW w:type="dxa" w:w="2160"/>
          </w:tcPr>
          <w:p>
            <w:r>
              <w:t>7.5%</w:t>
            </w:r>
          </w:p>
        </w:tc>
        <w:tc>
          <w:tcPr>
            <w:tcW w:type="dxa" w:w="2160"/>
          </w:tcPr>
          <w:p>
            <w:r>
              <w:t>6.3%</w:t>
            </w:r>
          </w:p>
        </w:tc>
        <w:tc>
          <w:tcPr>
            <w:tcW w:type="dxa" w:w="2160"/>
          </w:tcPr>
          <w:p>
            <w:r>
              <w:t>9.9%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