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High body fat (M&gt;=25/F&gt;=35%)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non-HDL cholesterol (&gt;=190) was positively associated with High body fat (M&gt;=25/F&gt;=35%) (odds ratio 1.86 (95% CI 1.49 to 2.32), false discovery rate q &lt;0.001) among 6582 adults aged 20 years or older (a weighted High body fat (M&gt;=25/F&gt;=35%) prevalence of 33.7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1.86 (95% CI 1.49 to 2.32)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High non-HDL cholesterol (&gt;=190) (exposure)</w:t>
            </w:r>
          </w:p>
        </w:tc>
        <w:tc>
          <w:tcPr>
            <w:tcW w:type="dxa" w:w="2160"/>
          </w:tcPr>
          <w:p>
            <w:r>
              <w:t>8.5%</w:t>
            </w:r>
          </w:p>
        </w:tc>
        <w:tc>
          <w:tcPr>
            <w:tcW w:type="dxa" w:w="2160"/>
          </w:tcPr>
          <w:p>
            <w:r>
              <w:t>6.6%</w:t>
            </w:r>
          </w:p>
        </w:tc>
        <w:tc>
          <w:tcPr>
            <w:tcW w:type="dxa" w:w="2160"/>
          </w:tcPr>
          <w:p>
            <w:r>
              <w:t>12.1%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