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Hypertension and High body fat (M&gt;=25/F&gt;=35%)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Hypertension was positively associated with High body fat (M&gt;=25/F&gt;=35%) (odds ratio 1.74 (95% CI 1.50 to 2.02), false discovery rate q &lt;0.001) among 6582 adults aged 20 years or older (a weighted High body fat (M&gt;=25/F&gt;=35%) prevalence of 33.7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1.74 (95% CI 1.50 to 2.02)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body fat (M&gt;=25/F&gt;=35%)</w:t>
            </w:r>
          </w:p>
        </w:tc>
        <w:tc>
          <w:tcPr>
            <w:tcW w:type="dxa" w:w="2160"/>
          </w:tcPr>
          <w:p>
            <w:r>
              <w:t>High body fat (M&gt;=25/F&gt;=35%)</w:t>
            </w:r>
          </w:p>
        </w:tc>
      </w:tr>
      <w:tr>
        <w:tc>
          <w:tcPr>
            <w:tcW w:type="dxa" w:w="2160"/>
          </w:tcPr>
          <w:p>
            <w:r>
              <w:t>Hypertension (exposure)</w:t>
            </w:r>
          </w:p>
        </w:tc>
        <w:tc>
          <w:tcPr>
            <w:tcW w:type="dxa" w:w="2160"/>
          </w:tcPr>
          <w:p>
            <w:r>
              <w:t>28.1%</w:t>
            </w:r>
          </w:p>
        </w:tc>
        <w:tc>
          <w:tcPr>
            <w:tcW w:type="dxa" w:w="2160"/>
          </w:tcPr>
          <w:p>
            <w:r>
              <w:t>24.1%</w:t>
            </w:r>
          </w:p>
        </w:tc>
        <w:tc>
          <w:tcPr>
            <w:tcW w:type="dxa" w:w="2160"/>
          </w:tcPr>
          <w:p>
            <w:r>
              <w:t>36.0%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51.9%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42.2%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88.5%</w:t>
            </w:r>
          </w:p>
        </w:tc>
        <w:tc>
          <w:tcPr>
            <w:tcW w:type="dxa" w:w="2160"/>
          </w:tcPr>
          <w:p>
            <w:r>
              <w:t>89.9%</w:t>
            </w:r>
          </w:p>
        </w:tc>
        <w:tc>
          <w:tcPr>
            <w:tcW w:type="dxa" w:w="2160"/>
          </w:tcPr>
          <w:p>
            <w:r>
              <w:t>85.6%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