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High body fat (M&gt;=25/F&gt;=35%) (odds ratio per 1-SD 1.54 (95% CI 1.44 to 1.65),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1.44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138.8</w:t>
            </w:r>
          </w:p>
        </w:tc>
        <w:tc>
          <w:tcPr>
            <w:tcW w:type="dxa" w:w="2160"/>
          </w:tcPr>
          <w:p>
            <w:r>
              <w:t>133.7</w:t>
            </w:r>
          </w:p>
        </w:tc>
        <w:tc>
          <w:tcPr>
            <w:tcW w:type="dxa" w:w="2160"/>
          </w:tcPr>
          <w:p>
            <w:r>
              <w:t>148.9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