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High body fat (M&gt;=25/F&gt;=35%) (odds ratio 0.58 (95% CI 0.46 to 0.73),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0.58 (95% CI 0.46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  <w:tc>
          <w:tcPr>
            <w:tcW w:type="dxa" w:w="2160"/>
          </w:tcPr>
          <w:p>
            <w:r>
              <w:t>31.7%</w:t>
            </w:r>
          </w:p>
        </w:tc>
        <w:tc>
          <w:tcPr>
            <w:tcW w:type="dxa" w:w="2160"/>
          </w:tcPr>
          <w:p>
            <w:r>
              <w:t>31.4%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