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High body fat (M&gt;=25/F&gt;=35%) (odds ratio per 1-SD 1.17 (95% CI 1.10 to 1.25),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1.10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255.1</w:t>
            </w:r>
          </w:p>
        </w:tc>
        <w:tc>
          <w:tcPr>
            <w:tcW w:type="dxa" w:w="2160"/>
          </w:tcPr>
          <w:p>
            <w:r>
              <w:t>252.0</w:t>
            </w:r>
          </w:p>
        </w:tc>
        <w:tc>
          <w:tcPr>
            <w:tcW w:type="dxa" w:w="2160"/>
          </w:tcPr>
          <w:p>
            <w:r>
              <w:t>261.1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