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High body fat (M&gt;=25/F&gt;=35%) (odds ratio per 1-SD 1.33 (95% CI 1.23 to 1.44),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1.23 to 1.44)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118.4</w:t>
            </w:r>
          </w:p>
        </w:tc>
        <w:tc>
          <w:tcPr>
            <w:tcW w:type="dxa" w:w="2160"/>
          </w:tcPr>
          <w:p>
            <w:r>
              <w:t>116.8</w:t>
            </w:r>
          </w:p>
        </w:tc>
        <w:tc>
          <w:tcPr>
            <w:tcW w:type="dxa" w:w="2160"/>
          </w:tcPr>
          <w:p>
            <w:r>
              <w:t>121.5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