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High body fat (M&gt;=25/F&gt;=35%) (odds ratio per 1-SD 1.39 (95% CI 1.30 to 1.48),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1.30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187.1</w:t>
            </w:r>
          </w:p>
        </w:tc>
        <w:tc>
          <w:tcPr>
            <w:tcW w:type="dxa" w:w="2160"/>
          </w:tcPr>
          <w:p>
            <w:r>
              <w:t>182.9</w:t>
            </w:r>
          </w:p>
        </w:tc>
        <w:tc>
          <w:tcPr>
            <w:tcW w:type="dxa" w:w="2160"/>
          </w:tcPr>
          <w:p>
            <w:r>
              <w:t>195.3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