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High body fat (M&gt;=25/F&gt;=35%) (odds ratio per 1-SD 1.25 (95% CI 1.15 to 1.37),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1.15 to 1.37)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135.9</w:t>
            </w:r>
          </w:p>
        </w:tc>
        <w:tc>
          <w:tcPr>
            <w:tcW w:type="dxa" w:w="2160"/>
          </w:tcPr>
          <w:p>
            <w:r>
              <w:t>127.5</w:t>
            </w:r>
          </w:p>
        </w:tc>
        <w:tc>
          <w:tcPr>
            <w:tcW w:type="dxa" w:w="2160"/>
          </w:tcPr>
          <w:p>
            <w:r>
              <w:t>152.4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