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ASM / height^2, kg/m2 and High LDL cholesterol (&gt;=160)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ASM / height^2, kg/m2 was positively associated with High LDL cholesterol (&gt;=160) (odds ratio per 1-SD 1.17 (95% CI 0.83 to 1.65), false discovery rate q 0.423) among 12077 adults aged 20 years or older (a weighted High LDL cholesterol (&gt;=160) prevalence of 10.6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ASM / height^2, kg/m2</w:t>
            </w:r>
          </w:p>
        </w:tc>
        <w:tc>
          <w:tcPr>
            <w:tcW w:type="dxa" w:w="1234"/>
          </w:tcPr>
          <w:p>
            <w:r>
              <w:t>High LDL cholesterol (&gt;=160)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1.17 (95% CI 0.83 to 1.65)</w:t>
            </w:r>
          </w:p>
        </w:tc>
        <w:tc>
          <w:tcPr>
            <w:tcW w:type="dxa" w:w="1234"/>
          </w:tcPr>
          <w:p>
            <w:r>
              <w:t>0.372</w:t>
            </w:r>
          </w:p>
        </w:tc>
        <w:tc>
          <w:tcPr>
            <w:tcW w:type="dxa" w:w="1234"/>
          </w:tcPr>
          <w:p>
            <w:r>
              <w:t>0.423</w:t>
            </w:r>
          </w:p>
        </w:tc>
        <w:tc>
          <w:tcPr>
            <w:tcW w:type="dxa" w:w="1234"/>
          </w:tcPr>
          <w:p>
            <w:r>
              <w:t>12077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LDL cholesterol (&gt;=160)</w:t>
            </w:r>
          </w:p>
        </w:tc>
        <w:tc>
          <w:tcPr>
            <w:tcW w:type="dxa" w:w="2160"/>
          </w:tcPr>
          <w:p>
            <w:r>
              <w:t>High LDL cholesterol (&gt;=160)</w:t>
            </w:r>
          </w:p>
        </w:tc>
      </w:tr>
      <w:tr>
        <w:tc>
          <w:tcPr>
            <w:tcW w:type="dxa" w:w="2160"/>
          </w:tcPr>
          <w:p>
            <w:r>
              <w:t>ASM / height^2, kg/m2 (exposure)</w:t>
            </w:r>
          </w:p>
        </w:tc>
        <w:tc>
          <w:tcPr>
            <w:tcW w:type="dxa" w:w="2160"/>
          </w:tcPr>
          <w:p>
            <w:r>
              <w:t>7.3</w:t>
            </w:r>
          </w:p>
        </w:tc>
        <w:tc>
          <w:tcPr>
            <w:tcW w:type="dxa" w:w="2160"/>
          </w:tcPr>
          <w:p>
            <w:r>
              <w:t>7.3</w:t>
            </w:r>
          </w:p>
        </w:tc>
        <w:tc>
          <w:tcPr>
            <w:tcW w:type="dxa" w:w="2160"/>
          </w:tcPr>
          <w:p>
            <w:r>
              <w:t>7.4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47.8</w:t>
            </w:r>
          </w:p>
        </w:tc>
        <w:tc>
          <w:tcPr>
            <w:tcW w:type="dxa" w:w="2160"/>
          </w:tcPr>
          <w:p>
            <w:r>
              <w:t>48.5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55.2%</w:t>
            </w:r>
          </w:p>
        </w:tc>
        <w:tc>
          <w:tcPr>
            <w:tcW w:type="dxa" w:w="2160"/>
          </w:tcPr>
          <w:p>
            <w:r>
              <w:t>55.1%</w:t>
            </w:r>
          </w:p>
        </w:tc>
        <w:tc>
          <w:tcPr>
            <w:tcW w:type="dxa" w:w="2160"/>
          </w:tcPr>
          <w:p>
            <w:r>
              <w:t>56.4%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24.5</w:t>
            </w:r>
          </w:p>
        </w:tc>
        <w:tc>
          <w:tcPr>
            <w:tcW w:type="dxa" w:w="2160"/>
          </w:tcPr>
          <w:p>
            <w:r>
              <w:t>24.4</w:t>
            </w:r>
          </w:p>
        </w:tc>
        <w:tc>
          <w:tcPr>
            <w:tcW w:type="dxa" w:w="2160"/>
          </w:tcPr>
          <w:p>
            <w:r>
              <w:t>25.5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48.8%</w:t>
            </w:r>
          </w:p>
        </w:tc>
        <w:tc>
          <w:tcPr>
            <w:tcW w:type="dxa" w:w="2160"/>
          </w:tcPr>
          <w:p>
            <w:r>
              <w:t>48.8%</w:t>
            </w:r>
          </w:p>
        </w:tc>
        <w:tc>
          <w:tcPr>
            <w:tcW w:type="dxa" w:w="2160"/>
          </w:tcPr>
          <w:p>
            <w:r>
              <w:t>49.3%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91.9%</w:t>
            </w:r>
          </w:p>
        </w:tc>
        <w:tc>
          <w:tcPr>
            <w:tcW w:type="dxa" w:w="2160"/>
          </w:tcPr>
          <w:p>
            <w:r>
              <w:t>91.8%</w:t>
            </w:r>
          </w:p>
        </w:tc>
        <w:tc>
          <w:tcPr>
            <w:tcW w:type="dxa" w:w="2160"/>
          </w:tcPr>
          <w:p>
            <w:r>
              <w:t>92.4%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