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High LDL cholesterol (&gt;=160)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positively associated with High LDL cholesterol (&gt;=160) (odds ratio per 1-SD 1.11 (95% CI 0.76 to 1.63), false discovery rate q 0.628) among 12077 adults aged 20 years or older (a weighted High LDL cholesterol (&gt;=160) prevalence of 10.6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High LDL cholesterol (&gt;=160)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1.11 (95% CI 0.76 to 1.63)</w:t>
            </w:r>
          </w:p>
        </w:tc>
        <w:tc>
          <w:tcPr>
            <w:tcW w:type="dxa" w:w="1234"/>
          </w:tcPr>
          <w:p>
            <w:r>
              <w:t>0.582</w:t>
            </w:r>
          </w:p>
        </w:tc>
        <w:tc>
          <w:tcPr>
            <w:tcW w:type="dxa" w:w="1234"/>
          </w:tcPr>
          <w:p>
            <w:r>
              <w:t>0.628</w:t>
            </w:r>
          </w:p>
        </w:tc>
        <w:tc>
          <w:tcPr>
            <w:tcW w:type="dxa" w:w="1234"/>
          </w:tcPr>
          <w:p>
            <w:r>
              <w:t>12077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LDL cholesterol (&gt;=160)</w:t>
            </w:r>
          </w:p>
        </w:tc>
        <w:tc>
          <w:tcPr>
            <w:tcW w:type="dxa" w:w="2160"/>
          </w:tcPr>
          <w:p>
            <w:r>
              <w:t>High LDL cholesterol (&gt;=160)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20.3</w:t>
            </w:r>
          </w:p>
        </w:tc>
        <w:tc>
          <w:tcPr>
            <w:tcW w:type="dxa" w:w="2160"/>
          </w:tcPr>
          <w:p>
            <w:r>
              <w:t>20.3</w:t>
            </w:r>
          </w:p>
        </w:tc>
        <w:tc>
          <w:tcPr>
            <w:tcW w:type="dxa" w:w="2160"/>
          </w:tcPr>
          <w:p>
            <w:r>
              <w:t>20.0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48.5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55.2%</w:t>
            </w:r>
          </w:p>
        </w:tc>
        <w:tc>
          <w:tcPr>
            <w:tcW w:type="dxa" w:w="2160"/>
          </w:tcPr>
          <w:p>
            <w:r>
              <w:t>55.1%</w:t>
            </w:r>
          </w:p>
        </w:tc>
        <w:tc>
          <w:tcPr>
            <w:tcW w:type="dxa" w:w="2160"/>
          </w:tcPr>
          <w:p>
            <w:r>
              <w:t>56.4%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24.5</w:t>
            </w:r>
          </w:p>
        </w:tc>
        <w:tc>
          <w:tcPr>
            <w:tcW w:type="dxa" w:w="2160"/>
          </w:tcPr>
          <w:p>
            <w:r>
              <w:t>24.4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48.8%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91.9%</w:t>
            </w:r>
          </w:p>
        </w:tc>
        <w:tc>
          <w:tcPr>
            <w:tcW w:type="dxa" w:w="2160"/>
          </w:tcPr>
          <w:p>
            <w:r>
              <w:t>91.8%</w:t>
            </w:r>
          </w:p>
        </w:tc>
        <w:tc>
          <w:tcPr>
            <w:tcW w:type="dxa" w:w="2160"/>
          </w:tcPr>
          <w:p>
            <w:r>
              <w:t>92.4%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