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High LDL cholesterol (&gt;=160) (odds ratio per 1-SD 0.68 (95% CI 0.48 to 0.99), false discovery rate q 0.056) among 12077 adults aged 20 years or older (a weighted High LDL cholesterol (&gt;=160) prevalence of 10.6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0.68 (95% CI 0.48 to 0.99)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31.1</w:t>
            </w:r>
          </w:p>
        </w:tc>
        <w:tc>
          <w:tcPr>
            <w:tcW w:type="dxa" w:w="2160"/>
          </w:tcPr>
          <w:p>
            <w:r>
              <w:t>31.2</w:t>
            </w:r>
          </w:p>
        </w:tc>
        <w:tc>
          <w:tcPr>
            <w:tcW w:type="dxa" w:w="2160"/>
          </w:tcPr>
          <w:p>
            <w:r>
              <w:t>30.3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