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High LDL cholesterol (&gt;=160) (odds ratio per 1-SD 0.89 (95% CI 0.81 to 0.98), false discovery rate q 0.023)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0.81 to 0.98)</w:t>
            </w:r>
          </w:p>
        </w:tc>
        <w:tc>
          <w:tcPr>
            <w:tcW w:type="dxa" w:w="1234"/>
          </w:tcPr>
          <w:p>
            <w:r>
              <w:t>0.016</w:t>
            </w:r>
          </w:p>
        </w:tc>
        <w:tc>
          <w:tcPr>
            <w:tcW w:type="dxa" w:w="1234"/>
          </w:tcPr>
          <w:p>
            <w:r>
              <w:t>0.023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100.8</w:t>
            </w:r>
          </w:p>
        </w:tc>
        <w:tc>
          <w:tcPr>
            <w:tcW w:type="dxa" w:w="2160"/>
          </w:tcPr>
          <w:p>
            <w:r>
              <w:t>101.0</w:t>
            </w:r>
          </w:p>
        </w:tc>
        <w:tc>
          <w:tcPr>
            <w:tcW w:type="dxa" w:w="2160"/>
          </w:tcPr>
          <w:p>
            <w:r>
              <w:t>99.3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