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positively associated with High LDL cholesterol (&gt;=160) (odds ratio 1.12 (95% CI 0.89 to 1.42), false discovery rate q 0.387) among 12077 adults aged 20 years or older (a weighted High LDL cholesterol (&gt;=160) prevalence of 10.6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1.12 (95% CI 0.89 to 1.42)</w:t>
            </w:r>
          </w:p>
        </w:tc>
        <w:tc>
          <w:tcPr>
            <w:tcW w:type="dxa" w:w="1234"/>
          </w:tcPr>
          <w:p>
            <w:r>
              <w:t>0.338</w:t>
            </w:r>
          </w:p>
        </w:tc>
        <w:tc>
          <w:tcPr>
            <w:tcW w:type="dxa" w:w="1234"/>
          </w:tcPr>
          <w:p>
            <w:r>
              <w:t>0.387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