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Fasting glucose, mg/dL was positively associated with High LDL cholesterol (&gt;=160) (odds ratio per 1-SD 1.03 (95% CI 0.95 to 1.11), false discovery rate q 0.551)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1.03 (95% CI 0.95 to 1.11)</w:t>
            </w:r>
          </w:p>
        </w:tc>
        <w:tc>
          <w:tcPr>
            <w:tcW w:type="dxa" w:w="1234"/>
          </w:tcPr>
          <w:p>
            <w:r>
              <w:t>0.503</w:t>
            </w:r>
          </w:p>
        </w:tc>
        <w:tc>
          <w:tcPr>
            <w:tcW w:type="dxa" w:w="1234"/>
          </w:tcPr>
          <w:p>
            <w:r>
              <w:t>0.551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101.9</w:t>
            </w:r>
          </w:p>
        </w:tc>
        <w:tc>
          <w:tcPr>
            <w:tcW w:type="dxa" w:w="2160"/>
          </w:tcPr>
          <w:p>
            <w:r>
              <w:t>101.7</w:t>
            </w:r>
          </w:p>
        </w:tc>
        <w:tc>
          <w:tcPr>
            <w:tcW w:type="dxa" w:w="2160"/>
          </w:tcPr>
          <w:p>
            <w:r>
              <w:t>103.8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